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00" w:rsidRDefault="00241E00" w:rsidP="00241E00">
      <w:bookmarkStart w:id="0" w:name="_GoBack"/>
      <w:bookmarkEnd w:id="0"/>
      <w:r>
        <w:t xml:space="preserve">The information below </w:t>
      </w:r>
      <w:r w:rsidR="00570337">
        <w:t>are</w:t>
      </w:r>
      <w:r>
        <w:t xml:space="preserve"> based on provisional data.  </w:t>
      </w:r>
      <w:r w:rsidR="00570337">
        <w:t>This</w:t>
      </w:r>
      <w:r>
        <w:t xml:space="preserve"> has not yet been validated and does not include the results of re-marks requested by schools.  Individual school level data has not, therefore, been included in the document.  This will be available in the performance tables which we expect to be published in January 2017.</w:t>
      </w:r>
    </w:p>
    <w:p w:rsidR="005E2791" w:rsidRPr="00241E00" w:rsidRDefault="0035199C" w:rsidP="00570337">
      <w:pPr>
        <w:spacing w:after="0"/>
        <w:rPr>
          <w:b/>
        </w:rPr>
      </w:pPr>
      <w:r w:rsidRPr="0035199C">
        <w:rPr>
          <w:b/>
        </w:rPr>
        <w:t>Provisional Key Stage 4 Results, % 5 A*-C including English and Maths</w:t>
      </w:r>
    </w:p>
    <w:p w:rsidR="005E2791" w:rsidRDefault="004F68CD" w:rsidP="00373694">
      <w:pPr>
        <w:jc w:val="center"/>
      </w:pPr>
      <w:r w:rsidRPr="004F68CD">
        <w:rPr>
          <w:noProof/>
          <w:lang w:eastAsia="en-GB"/>
        </w:rPr>
        <w:drawing>
          <wp:inline distT="0" distB="0" distL="0" distR="0">
            <wp:extent cx="5106670" cy="305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6670" cy="3053715"/>
                    </a:xfrm>
                    <a:prstGeom prst="rect">
                      <a:avLst/>
                    </a:prstGeom>
                    <a:noFill/>
                    <a:ln>
                      <a:noFill/>
                    </a:ln>
                  </pic:spPr>
                </pic:pic>
              </a:graphicData>
            </a:graphic>
          </wp:inline>
        </w:drawing>
      </w:r>
    </w:p>
    <w:p w:rsidR="00241E00" w:rsidRDefault="00241E00" w:rsidP="00570337">
      <w:pPr>
        <w:spacing w:after="0"/>
        <w:rPr>
          <w:b/>
        </w:rPr>
      </w:pPr>
      <w:r w:rsidRPr="0035199C">
        <w:rPr>
          <w:b/>
        </w:rPr>
        <w:t xml:space="preserve">Provisional Key Stage 4 Results, </w:t>
      </w:r>
      <w:r>
        <w:rPr>
          <w:b/>
        </w:rPr>
        <w:t>Attainment 8 and Progress 8</w:t>
      </w:r>
    </w:p>
    <w:p w:rsidR="00241E00" w:rsidRDefault="00570337" w:rsidP="00241E00">
      <w:r>
        <w:t>W</w:t>
      </w:r>
      <w:r w:rsidR="00241E00">
        <w:t xml:space="preserve">e are </w:t>
      </w:r>
      <w:r>
        <w:t xml:space="preserve">currently </w:t>
      </w:r>
      <w:r w:rsidR="00241E00">
        <w:t xml:space="preserve">unable to provide district data for these new measures, but the </w:t>
      </w:r>
      <w:proofErr w:type="spellStart"/>
      <w:r w:rsidR="00241E00">
        <w:t>DfE</w:t>
      </w:r>
      <w:proofErr w:type="spellEnd"/>
      <w:r w:rsidR="00241E00">
        <w:t xml:space="preserve"> Statistical First Release </w:t>
      </w:r>
      <w:r w:rsidR="0050045E">
        <w:t xml:space="preserve">48 </w:t>
      </w:r>
      <w:r w:rsidR="00241E00">
        <w:t xml:space="preserve">provides Local Authority, regional and national </w:t>
      </w:r>
      <w:r>
        <w:t>data</w:t>
      </w:r>
      <w:r w:rsidR="00241E00">
        <w:t>.</w:t>
      </w:r>
    </w:p>
    <w:p w:rsidR="00570337" w:rsidRDefault="00570337" w:rsidP="00241E00">
      <w:r>
        <w:t>"</w:t>
      </w:r>
      <w:r w:rsidRPr="00570337">
        <w:rPr>
          <w:b/>
        </w:rPr>
        <w:t>Attainment 8</w:t>
      </w:r>
      <w:r>
        <w:t xml:space="preserve">" averages the total points gained in examinations for each pupil across a prescribed combination of </w:t>
      </w:r>
      <w:r w:rsidR="0050045E">
        <w:t>subject 'elements'</w:t>
      </w:r>
      <w:r>
        <w:t>: English and mathematics (each double-weighted), three English Baccalaureate subjects (geography, history, sciences and/or languages) and three 'open' subjects (any other approved subject qualification). "</w:t>
      </w:r>
      <w:r w:rsidRPr="00570337">
        <w:rPr>
          <w:b/>
        </w:rPr>
        <w:t>Progress 8</w:t>
      </w:r>
      <w:r>
        <w:t>" is a value-added measure which compares the attainment of each pupil against others of the same ability (based on assessments at the end of primary school).</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447"/>
        <w:gridCol w:w="1156"/>
        <w:gridCol w:w="992"/>
        <w:gridCol w:w="1307"/>
        <w:gridCol w:w="1611"/>
        <w:gridCol w:w="709"/>
      </w:tblGrid>
      <w:tr w:rsidR="0043478C" w:rsidRPr="0043478C" w:rsidTr="0043478C">
        <w:trPr>
          <w:trHeight w:val="455"/>
        </w:trPr>
        <w:tc>
          <w:tcPr>
            <w:tcW w:w="2092" w:type="dxa"/>
            <w:vMerge w:val="restart"/>
            <w:shd w:val="clear" w:color="auto" w:fill="BFBFBF" w:themeFill="background1" w:themeFillShade="BF"/>
            <w:vAlign w:val="center"/>
            <w:hideMark/>
          </w:tcPr>
          <w:p w:rsidR="0043478C" w:rsidRPr="00241E00" w:rsidRDefault="0043478C" w:rsidP="0043478C">
            <w:pPr>
              <w:spacing w:after="0" w:line="240" w:lineRule="auto"/>
              <w:rPr>
                <w:rFonts w:eastAsia="Times New Roman" w:cs="Arial"/>
                <w:b/>
                <w:sz w:val="18"/>
                <w:szCs w:val="18"/>
                <w:lang w:eastAsia="en-GB"/>
              </w:rPr>
            </w:pPr>
            <w:r w:rsidRPr="00241E00">
              <w:rPr>
                <w:rFonts w:eastAsia="Times New Roman" w:cs="Arial"/>
                <w:b/>
                <w:sz w:val="18"/>
                <w:szCs w:val="18"/>
                <w:lang w:eastAsia="en-GB"/>
              </w:rPr>
              <w:lastRenderedPageBreak/>
              <w:t>Region/</w:t>
            </w:r>
            <w:r w:rsidRPr="00241E00">
              <w:rPr>
                <w:rFonts w:eastAsia="Times New Roman" w:cs="Arial"/>
                <w:b/>
                <w:sz w:val="18"/>
                <w:szCs w:val="18"/>
                <w:lang w:eastAsia="en-GB"/>
              </w:rPr>
              <w:br/>
              <w:t>Local Authority</w:t>
            </w:r>
          </w:p>
        </w:tc>
        <w:tc>
          <w:tcPr>
            <w:tcW w:w="1447" w:type="dxa"/>
            <w:vMerge w:val="restart"/>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 xml:space="preserve">Number of pupils at the end </w:t>
            </w:r>
            <w:r w:rsidRPr="0043478C">
              <w:rPr>
                <w:rFonts w:eastAsia="Times New Roman" w:cs="Arial"/>
                <w:b/>
                <w:sz w:val="18"/>
                <w:szCs w:val="18"/>
                <w:lang w:eastAsia="en-GB"/>
              </w:rPr>
              <w:t xml:space="preserve">of </w:t>
            </w:r>
            <w:r w:rsidRPr="0043478C">
              <w:rPr>
                <w:rFonts w:eastAsia="Times New Roman" w:cs="Arial"/>
                <w:b/>
                <w:sz w:val="18"/>
                <w:szCs w:val="18"/>
                <w:lang w:eastAsia="en-GB"/>
              </w:rPr>
              <w:br/>
            </w:r>
            <w:r w:rsidRPr="00241E00">
              <w:rPr>
                <w:rFonts w:eastAsia="Times New Roman" w:cs="Arial"/>
                <w:b/>
                <w:sz w:val="18"/>
                <w:szCs w:val="18"/>
                <w:lang w:eastAsia="en-GB"/>
              </w:rPr>
              <w:t>key stage 4</w:t>
            </w:r>
          </w:p>
        </w:tc>
        <w:tc>
          <w:tcPr>
            <w:tcW w:w="1134" w:type="dxa"/>
            <w:vMerge w:val="restart"/>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Average Attainment 8 score per pupil</w:t>
            </w:r>
          </w:p>
        </w:tc>
        <w:tc>
          <w:tcPr>
            <w:tcW w:w="4588" w:type="dxa"/>
            <w:gridSpan w:val="4"/>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 xml:space="preserve">Average </w:t>
            </w:r>
            <w:r w:rsidRPr="0043478C">
              <w:rPr>
                <w:rFonts w:eastAsia="Times New Roman" w:cs="Arial"/>
                <w:b/>
                <w:sz w:val="18"/>
                <w:szCs w:val="18"/>
                <w:lang w:eastAsia="en-GB"/>
              </w:rPr>
              <w:t xml:space="preserve">A8 </w:t>
            </w:r>
            <w:r w:rsidRPr="00241E00">
              <w:rPr>
                <w:rFonts w:eastAsia="Times New Roman" w:cs="Arial"/>
                <w:b/>
                <w:sz w:val="18"/>
                <w:szCs w:val="18"/>
                <w:lang w:eastAsia="en-GB"/>
              </w:rPr>
              <w:t>score per pupil in each element:</w:t>
            </w:r>
          </w:p>
        </w:tc>
      </w:tr>
      <w:tr w:rsidR="0043478C" w:rsidRPr="0043478C" w:rsidTr="0043478C">
        <w:trPr>
          <w:trHeight w:val="321"/>
        </w:trPr>
        <w:tc>
          <w:tcPr>
            <w:tcW w:w="2092" w:type="dxa"/>
            <w:vMerge/>
            <w:shd w:val="clear" w:color="auto" w:fill="BFBFBF" w:themeFill="background1" w:themeFillShade="BF"/>
            <w:vAlign w:val="center"/>
            <w:hideMark/>
          </w:tcPr>
          <w:p w:rsidR="0043478C" w:rsidRPr="00241E00" w:rsidRDefault="0043478C" w:rsidP="0043478C">
            <w:pPr>
              <w:spacing w:after="0" w:line="240" w:lineRule="auto"/>
              <w:rPr>
                <w:rFonts w:eastAsia="Times New Roman" w:cs="Arial"/>
                <w:b/>
                <w:sz w:val="18"/>
                <w:szCs w:val="18"/>
                <w:lang w:eastAsia="en-GB"/>
              </w:rPr>
            </w:pPr>
          </w:p>
        </w:tc>
        <w:tc>
          <w:tcPr>
            <w:tcW w:w="1447" w:type="dxa"/>
            <w:vMerge/>
            <w:shd w:val="clear" w:color="auto" w:fill="BFBFBF" w:themeFill="background1" w:themeFillShade="BF"/>
            <w:vAlign w:val="center"/>
            <w:hideMark/>
          </w:tcPr>
          <w:p w:rsidR="0043478C" w:rsidRPr="00241E00" w:rsidRDefault="0043478C" w:rsidP="0043478C">
            <w:pPr>
              <w:spacing w:after="0" w:line="240" w:lineRule="auto"/>
              <w:rPr>
                <w:rFonts w:eastAsia="Times New Roman" w:cs="Arial"/>
                <w:b/>
                <w:sz w:val="18"/>
                <w:szCs w:val="18"/>
                <w:lang w:eastAsia="en-GB"/>
              </w:rPr>
            </w:pPr>
          </w:p>
        </w:tc>
        <w:tc>
          <w:tcPr>
            <w:tcW w:w="1134" w:type="dxa"/>
            <w:vMerge/>
            <w:shd w:val="clear" w:color="auto" w:fill="BFBFBF" w:themeFill="background1" w:themeFillShade="BF"/>
            <w:vAlign w:val="center"/>
            <w:hideMark/>
          </w:tcPr>
          <w:p w:rsidR="0043478C" w:rsidRPr="00241E00" w:rsidRDefault="0043478C" w:rsidP="0043478C">
            <w:pPr>
              <w:spacing w:after="0" w:line="240" w:lineRule="auto"/>
              <w:rPr>
                <w:rFonts w:eastAsia="Times New Roman" w:cs="Arial"/>
                <w:b/>
                <w:sz w:val="18"/>
                <w:szCs w:val="18"/>
                <w:lang w:eastAsia="en-GB"/>
              </w:rPr>
            </w:pPr>
          </w:p>
        </w:tc>
        <w:tc>
          <w:tcPr>
            <w:tcW w:w="992" w:type="dxa"/>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English</w:t>
            </w:r>
          </w:p>
        </w:tc>
        <w:tc>
          <w:tcPr>
            <w:tcW w:w="1276" w:type="dxa"/>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Mathematics</w:t>
            </w:r>
          </w:p>
        </w:tc>
        <w:tc>
          <w:tcPr>
            <w:tcW w:w="1611" w:type="dxa"/>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English Baccalaureate</w:t>
            </w:r>
          </w:p>
        </w:tc>
        <w:tc>
          <w:tcPr>
            <w:tcW w:w="709" w:type="dxa"/>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Open</w:t>
            </w:r>
          </w:p>
        </w:tc>
      </w:tr>
      <w:tr w:rsidR="0043478C" w:rsidRPr="0043478C" w:rsidTr="0043478C">
        <w:trPr>
          <w:trHeight w:val="300"/>
        </w:trPr>
        <w:tc>
          <w:tcPr>
            <w:tcW w:w="2092" w:type="dxa"/>
            <w:shd w:val="clear" w:color="auto" w:fill="auto"/>
            <w:noWrap/>
            <w:hideMark/>
          </w:tcPr>
          <w:p w:rsidR="0043478C" w:rsidRPr="00241E00" w:rsidRDefault="0043478C" w:rsidP="0043478C">
            <w:pPr>
              <w:spacing w:after="0" w:line="240" w:lineRule="auto"/>
              <w:rPr>
                <w:rFonts w:eastAsia="Times New Roman" w:cs="Arial"/>
                <w:b/>
                <w:bCs/>
                <w:sz w:val="18"/>
                <w:szCs w:val="18"/>
                <w:lang w:eastAsia="en-GB"/>
              </w:rPr>
            </w:pPr>
            <w:r w:rsidRPr="00241E00">
              <w:rPr>
                <w:rFonts w:eastAsia="Times New Roman" w:cs="Arial"/>
                <w:b/>
                <w:bCs/>
                <w:sz w:val="18"/>
                <w:szCs w:val="18"/>
                <w:lang w:eastAsia="en-GB"/>
              </w:rPr>
              <w:t xml:space="preserve">Total </w:t>
            </w:r>
            <w:r w:rsidRPr="0043478C">
              <w:rPr>
                <w:rFonts w:eastAsia="Times New Roman" w:cs="Arial"/>
                <w:b/>
                <w:bCs/>
                <w:sz w:val="18"/>
                <w:szCs w:val="18"/>
                <w:lang w:eastAsia="en-GB"/>
              </w:rPr>
              <w:br/>
            </w:r>
            <w:r w:rsidRPr="00241E00">
              <w:rPr>
                <w:rFonts w:eastAsia="Times New Roman" w:cs="Arial"/>
                <w:b/>
                <w:bCs/>
                <w:sz w:val="18"/>
                <w:szCs w:val="18"/>
                <w:lang w:eastAsia="en-GB"/>
              </w:rPr>
              <w:t>(State-funded sector)</w:t>
            </w:r>
          </w:p>
        </w:tc>
        <w:tc>
          <w:tcPr>
            <w:tcW w:w="1447"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538,623</w:t>
            </w:r>
          </w:p>
        </w:tc>
        <w:tc>
          <w:tcPr>
            <w:tcW w:w="1134"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49.9</w:t>
            </w:r>
          </w:p>
        </w:tc>
        <w:tc>
          <w:tcPr>
            <w:tcW w:w="992"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10.5</w:t>
            </w:r>
          </w:p>
        </w:tc>
        <w:tc>
          <w:tcPr>
            <w:tcW w:w="1276"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9.8</w:t>
            </w:r>
          </w:p>
        </w:tc>
        <w:tc>
          <w:tcPr>
            <w:tcW w:w="1611"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13.8</w:t>
            </w:r>
          </w:p>
        </w:tc>
        <w:tc>
          <w:tcPr>
            <w:tcW w:w="709"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15.8</w:t>
            </w:r>
          </w:p>
        </w:tc>
      </w:tr>
      <w:tr w:rsidR="0043478C" w:rsidRPr="0043478C" w:rsidTr="0043478C">
        <w:trPr>
          <w:trHeight w:val="300"/>
        </w:trPr>
        <w:tc>
          <w:tcPr>
            <w:tcW w:w="2092" w:type="dxa"/>
            <w:shd w:val="clear" w:color="auto" w:fill="auto"/>
            <w:noWrap/>
            <w:vAlign w:val="center"/>
            <w:hideMark/>
          </w:tcPr>
          <w:p w:rsidR="0043478C" w:rsidRPr="00241E00" w:rsidRDefault="0043478C" w:rsidP="0043478C">
            <w:pPr>
              <w:spacing w:after="0" w:line="240" w:lineRule="auto"/>
              <w:rPr>
                <w:rFonts w:eastAsia="Times New Roman" w:cs="Arial"/>
                <w:b/>
                <w:bCs/>
                <w:sz w:val="18"/>
                <w:szCs w:val="18"/>
                <w:lang w:eastAsia="en-GB"/>
              </w:rPr>
            </w:pPr>
            <w:r w:rsidRPr="00241E00">
              <w:rPr>
                <w:rFonts w:eastAsia="Times New Roman" w:cs="Arial"/>
                <w:b/>
                <w:bCs/>
                <w:sz w:val="18"/>
                <w:szCs w:val="18"/>
                <w:lang w:eastAsia="en-GB"/>
              </w:rPr>
              <w:t>North West</w:t>
            </w:r>
          </w:p>
        </w:tc>
        <w:tc>
          <w:tcPr>
            <w:tcW w:w="1447"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74,139</w:t>
            </w:r>
          </w:p>
        </w:tc>
        <w:tc>
          <w:tcPr>
            <w:tcW w:w="1134"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49.2</w:t>
            </w:r>
          </w:p>
        </w:tc>
        <w:tc>
          <w:tcPr>
            <w:tcW w:w="992"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10.4</w:t>
            </w:r>
          </w:p>
        </w:tc>
        <w:tc>
          <w:tcPr>
            <w:tcW w:w="1276"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9.6</w:t>
            </w:r>
          </w:p>
        </w:tc>
        <w:tc>
          <w:tcPr>
            <w:tcW w:w="1611"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13.4</w:t>
            </w:r>
          </w:p>
        </w:tc>
        <w:tc>
          <w:tcPr>
            <w:tcW w:w="709"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15.7</w:t>
            </w:r>
          </w:p>
        </w:tc>
      </w:tr>
      <w:tr w:rsidR="0043478C" w:rsidRPr="0043478C" w:rsidTr="0043478C">
        <w:trPr>
          <w:trHeight w:val="300"/>
        </w:trPr>
        <w:tc>
          <w:tcPr>
            <w:tcW w:w="2092" w:type="dxa"/>
            <w:shd w:val="clear" w:color="auto" w:fill="auto"/>
            <w:noWrap/>
            <w:vAlign w:val="bottom"/>
            <w:hideMark/>
          </w:tcPr>
          <w:p w:rsidR="0043478C" w:rsidRPr="00241E00" w:rsidRDefault="0043478C" w:rsidP="0043478C">
            <w:pPr>
              <w:spacing w:after="0" w:line="240" w:lineRule="auto"/>
              <w:rPr>
                <w:rFonts w:eastAsia="Times New Roman" w:cs="Arial"/>
                <w:sz w:val="18"/>
                <w:szCs w:val="18"/>
                <w:lang w:eastAsia="en-GB"/>
              </w:rPr>
            </w:pPr>
            <w:r w:rsidRPr="00241E00">
              <w:rPr>
                <w:rFonts w:eastAsia="Times New Roman" w:cs="Arial"/>
                <w:sz w:val="18"/>
                <w:szCs w:val="18"/>
                <w:lang w:eastAsia="en-GB"/>
              </w:rPr>
              <w:t>Lancashire</w:t>
            </w:r>
          </w:p>
        </w:tc>
        <w:tc>
          <w:tcPr>
            <w:tcW w:w="1447"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12,107</w:t>
            </w:r>
          </w:p>
        </w:tc>
        <w:tc>
          <w:tcPr>
            <w:tcW w:w="1134"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49.6</w:t>
            </w:r>
          </w:p>
        </w:tc>
        <w:tc>
          <w:tcPr>
            <w:tcW w:w="992"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10.5</w:t>
            </w:r>
          </w:p>
        </w:tc>
        <w:tc>
          <w:tcPr>
            <w:tcW w:w="1276"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9.8</w:t>
            </w:r>
          </w:p>
        </w:tc>
        <w:tc>
          <w:tcPr>
            <w:tcW w:w="1611"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13.5</w:t>
            </w:r>
          </w:p>
        </w:tc>
        <w:tc>
          <w:tcPr>
            <w:tcW w:w="709"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15.8</w:t>
            </w:r>
          </w:p>
        </w:tc>
      </w:tr>
    </w:tbl>
    <w:p w:rsidR="00241E00" w:rsidRDefault="00241E00" w:rsidP="0043478C">
      <w:pPr>
        <w:spacing w:after="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447"/>
        <w:gridCol w:w="1093"/>
        <w:gridCol w:w="955"/>
        <w:gridCol w:w="1485"/>
        <w:gridCol w:w="1437"/>
        <w:gridCol w:w="700"/>
      </w:tblGrid>
      <w:tr w:rsidR="0043478C" w:rsidRPr="0043478C" w:rsidTr="0043478C">
        <w:trPr>
          <w:trHeight w:val="405"/>
        </w:trPr>
        <w:tc>
          <w:tcPr>
            <w:tcW w:w="2092" w:type="dxa"/>
            <w:vMerge w:val="restart"/>
            <w:shd w:val="clear" w:color="auto" w:fill="BFBFBF" w:themeFill="background1" w:themeFillShade="BF"/>
            <w:vAlign w:val="center"/>
            <w:hideMark/>
          </w:tcPr>
          <w:p w:rsidR="0043478C" w:rsidRPr="00241E00" w:rsidRDefault="0043478C" w:rsidP="0043478C">
            <w:pPr>
              <w:spacing w:after="0" w:line="240" w:lineRule="auto"/>
              <w:rPr>
                <w:rFonts w:eastAsia="Times New Roman" w:cs="Arial"/>
                <w:b/>
                <w:sz w:val="18"/>
                <w:szCs w:val="18"/>
                <w:lang w:eastAsia="en-GB"/>
              </w:rPr>
            </w:pPr>
            <w:r>
              <w:rPr>
                <w:rFonts w:eastAsia="Times New Roman" w:cs="Arial"/>
                <w:b/>
                <w:sz w:val="18"/>
                <w:szCs w:val="18"/>
                <w:lang w:eastAsia="en-GB"/>
              </w:rPr>
              <w:t>Region</w:t>
            </w:r>
            <w:r w:rsidRPr="00241E00">
              <w:rPr>
                <w:rFonts w:eastAsia="Times New Roman" w:cs="Arial"/>
                <w:b/>
                <w:sz w:val="18"/>
                <w:szCs w:val="18"/>
                <w:lang w:eastAsia="en-GB"/>
              </w:rPr>
              <w:br/>
              <w:t>Local Authority</w:t>
            </w:r>
          </w:p>
        </w:tc>
        <w:tc>
          <w:tcPr>
            <w:tcW w:w="1447" w:type="dxa"/>
            <w:vMerge w:val="restart"/>
            <w:shd w:val="clear" w:color="auto" w:fill="BFBFBF" w:themeFill="background1" w:themeFillShade="BF"/>
            <w:vAlign w:val="center"/>
            <w:hideMark/>
          </w:tcPr>
          <w:p w:rsidR="0043478C" w:rsidRPr="00241E00"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Number of pupils included in the measure</w:t>
            </w:r>
          </w:p>
        </w:tc>
        <w:tc>
          <w:tcPr>
            <w:tcW w:w="1134" w:type="dxa"/>
            <w:vMerge w:val="restart"/>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r w:rsidRPr="0043478C">
              <w:rPr>
                <w:rFonts w:eastAsia="Times New Roman" w:cs="Arial"/>
                <w:b/>
                <w:sz w:val="18"/>
                <w:szCs w:val="18"/>
                <w:lang w:eastAsia="en-GB"/>
              </w:rPr>
              <w:t>Overall Progress 8 Measure</w:t>
            </w:r>
          </w:p>
        </w:tc>
        <w:tc>
          <w:tcPr>
            <w:tcW w:w="4536" w:type="dxa"/>
            <w:gridSpan w:val="4"/>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 xml:space="preserve">Average </w:t>
            </w:r>
            <w:r w:rsidRPr="0043478C">
              <w:rPr>
                <w:rFonts w:eastAsia="Times New Roman" w:cs="Arial"/>
                <w:b/>
                <w:sz w:val="18"/>
                <w:szCs w:val="18"/>
                <w:lang w:eastAsia="en-GB"/>
              </w:rPr>
              <w:t xml:space="preserve">P8 </w:t>
            </w:r>
            <w:r w:rsidRPr="00241E00">
              <w:rPr>
                <w:rFonts w:eastAsia="Times New Roman" w:cs="Arial"/>
                <w:b/>
                <w:sz w:val="18"/>
                <w:szCs w:val="18"/>
                <w:lang w:eastAsia="en-GB"/>
              </w:rPr>
              <w:t>score per pupil in each element:</w:t>
            </w:r>
          </w:p>
        </w:tc>
      </w:tr>
      <w:tr w:rsidR="0043478C" w:rsidRPr="0043478C" w:rsidTr="0043478C">
        <w:trPr>
          <w:trHeight w:val="367"/>
        </w:trPr>
        <w:tc>
          <w:tcPr>
            <w:tcW w:w="2092" w:type="dxa"/>
            <w:vMerge/>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p>
        </w:tc>
        <w:tc>
          <w:tcPr>
            <w:tcW w:w="1447" w:type="dxa"/>
            <w:vMerge/>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p>
        </w:tc>
        <w:tc>
          <w:tcPr>
            <w:tcW w:w="1134" w:type="dxa"/>
            <w:vMerge/>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p>
        </w:tc>
        <w:tc>
          <w:tcPr>
            <w:tcW w:w="992" w:type="dxa"/>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English</w:t>
            </w:r>
          </w:p>
        </w:tc>
        <w:tc>
          <w:tcPr>
            <w:tcW w:w="1560" w:type="dxa"/>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Mathematics</w:t>
            </w:r>
          </w:p>
        </w:tc>
        <w:tc>
          <w:tcPr>
            <w:tcW w:w="1275" w:type="dxa"/>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English Baccalaureate</w:t>
            </w:r>
          </w:p>
        </w:tc>
        <w:tc>
          <w:tcPr>
            <w:tcW w:w="709" w:type="dxa"/>
            <w:shd w:val="clear" w:color="auto" w:fill="BFBFBF" w:themeFill="background1" w:themeFillShade="BF"/>
            <w:vAlign w:val="center"/>
          </w:tcPr>
          <w:p w:rsidR="0043478C" w:rsidRPr="0043478C" w:rsidRDefault="0043478C" w:rsidP="0043478C">
            <w:pPr>
              <w:spacing w:after="0" w:line="240" w:lineRule="auto"/>
              <w:jc w:val="center"/>
              <w:rPr>
                <w:rFonts w:eastAsia="Times New Roman" w:cs="Arial"/>
                <w:b/>
                <w:sz w:val="18"/>
                <w:szCs w:val="18"/>
                <w:lang w:eastAsia="en-GB"/>
              </w:rPr>
            </w:pPr>
            <w:r w:rsidRPr="00241E00">
              <w:rPr>
                <w:rFonts w:eastAsia="Times New Roman" w:cs="Arial"/>
                <w:b/>
                <w:sz w:val="18"/>
                <w:szCs w:val="18"/>
                <w:lang w:eastAsia="en-GB"/>
              </w:rPr>
              <w:t>Open</w:t>
            </w:r>
          </w:p>
        </w:tc>
      </w:tr>
      <w:tr w:rsidR="0043478C" w:rsidRPr="0043478C" w:rsidTr="0043478C">
        <w:trPr>
          <w:trHeight w:val="300"/>
        </w:trPr>
        <w:tc>
          <w:tcPr>
            <w:tcW w:w="2092" w:type="dxa"/>
            <w:shd w:val="clear" w:color="auto" w:fill="auto"/>
            <w:noWrap/>
            <w:hideMark/>
          </w:tcPr>
          <w:p w:rsidR="0043478C" w:rsidRPr="00241E00" w:rsidRDefault="0043478C" w:rsidP="0043478C">
            <w:pPr>
              <w:spacing w:after="0" w:line="240" w:lineRule="auto"/>
              <w:rPr>
                <w:rFonts w:eastAsia="Times New Roman" w:cs="Arial"/>
                <w:b/>
                <w:bCs/>
                <w:sz w:val="18"/>
                <w:szCs w:val="18"/>
                <w:lang w:eastAsia="en-GB"/>
              </w:rPr>
            </w:pPr>
            <w:r w:rsidRPr="00241E00">
              <w:rPr>
                <w:rFonts w:eastAsia="Times New Roman" w:cs="Arial"/>
                <w:b/>
                <w:bCs/>
                <w:sz w:val="18"/>
                <w:szCs w:val="18"/>
                <w:lang w:eastAsia="en-GB"/>
              </w:rPr>
              <w:t xml:space="preserve">Total </w:t>
            </w:r>
            <w:r w:rsidRPr="0043478C">
              <w:rPr>
                <w:rFonts w:eastAsia="Times New Roman" w:cs="Arial"/>
                <w:b/>
                <w:bCs/>
                <w:sz w:val="18"/>
                <w:szCs w:val="18"/>
                <w:lang w:eastAsia="en-GB"/>
              </w:rPr>
              <w:br/>
            </w:r>
            <w:r w:rsidRPr="00241E00">
              <w:rPr>
                <w:rFonts w:eastAsia="Times New Roman" w:cs="Arial"/>
                <w:b/>
                <w:bCs/>
                <w:sz w:val="18"/>
                <w:szCs w:val="18"/>
                <w:lang w:eastAsia="en-GB"/>
              </w:rPr>
              <w:t>(State-funded sector)</w:t>
            </w:r>
          </w:p>
        </w:tc>
        <w:tc>
          <w:tcPr>
            <w:tcW w:w="1447"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512,368</w:t>
            </w:r>
          </w:p>
        </w:tc>
        <w:tc>
          <w:tcPr>
            <w:tcW w:w="1134" w:type="dxa"/>
            <w:vAlign w:val="center"/>
          </w:tcPr>
          <w:p w:rsidR="0043478C" w:rsidRPr="0043478C" w:rsidRDefault="0043478C" w:rsidP="0043478C">
            <w:pPr>
              <w:spacing w:after="0"/>
              <w:jc w:val="right"/>
              <w:rPr>
                <w:rFonts w:cs="Arial"/>
                <w:b/>
                <w:bCs/>
                <w:sz w:val="18"/>
                <w:szCs w:val="18"/>
              </w:rPr>
            </w:pPr>
            <w:r w:rsidRPr="0043478C">
              <w:rPr>
                <w:rFonts w:cs="Arial"/>
                <w:b/>
                <w:bCs/>
                <w:sz w:val="18"/>
                <w:szCs w:val="18"/>
              </w:rPr>
              <w:t>-0.03</w:t>
            </w:r>
          </w:p>
        </w:tc>
        <w:tc>
          <w:tcPr>
            <w:tcW w:w="992" w:type="dxa"/>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-0.04</w:t>
            </w:r>
          </w:p>
        </w:tc>
        <w:tc>
          <w:tcPr>
            <w:tcW w:w="1560" w:type="dxa"/>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-0.02</w:t>
            </w:r>
          </w:p>
        </w:tc>
        <w:tc>
          <w:tcPr>
            <w:tcW w:w="1275" w:type="dxa"/>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-0.02</w:t>
            </w:r>
          </w:p>
        </w:tc>
        <w:tc>
          <w:tcPr>
            <w:tcW w:w="709" w:type="dxa"/>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-0.04</w:t>
            </w:r>
          </w:p>
        </w:tc>
      </w:tr>
      <w:tr w:rsidR="0043478C" w:rsidRPr="0043478C" w:rsidTr="00570337">
        <w:trPr>
          <w:trHeight w:val="300"/>
        </w:trPr>
        <w:tc>
          <w:tcPr>
            <w:tcW w:w="2092" w:type="dxa"/>
            <w:shd w:val="clear" w:color="auto" w:fill="auto"/>
            <w:noWrap/>
            <w:vAlign w:val="center"/>
            <w:hideMark/>
          </w:tcPr>
          <w:p w:rsidR="0043478C" w:rsidRPr="00241E00" w:rsidRDefault="0043478C" w:rsidP="0043478C">
            <w:pPr>
              <w:spacing w:after="0" w:line="240" w:lineRule="auto"/>
              <w:rPr>
                <w:rFonts w:eastAsia="Times New Roman" w:cs="Arial"/>
                <w:b/>
                <w:bCs/>
                <w:sz w:val="18"/>
                <w:szCs w:val="18"/>
                <w:lang w:eastAsia="en-GB"/>
              </w:rPr>
            </w:pPr>
            <w:r w:rsidRPr="00241E00">
              <w:rPr>
                <w:rFonts w:eastAsia="Times New Roman" w:cs="Arial"/>
                <w:b/>
                <w:bCs/>
                <w:sz w:val="18"/>
                <w:szCs w:val="18"/>
                <w:lang w:eastAsia="en-GB"/>
              </w:rPr>
              <w:t>North West</w:t>
            </w:r>
          </w:p>
        </w:tc>
        <w:tc>
          <w:tcPr>
            <w:tcW w:w="1447" w:type="dxa"/>
            <w:shd w:val="clear" w:color="auto" w:fill="auto"/>
            <w:noWrap/>
            <w:vAlign w:val="center"/>
            <w:hideMark/>
          </w:tcPr>
          <w:p w:rsidR="0043478C" w:rsidRPr="00241E00" w:rsidRDefault="0043478C" w:rsidP="0043478C">
            <w:pPr>
              <w:spacing w:after="0" w:line="240" w:lineRule="auto"/>
              <w:jc w:val="right"/>
              <w:rPr>
                <w:rFonts w:eastAsia="Times New Roman" w:cs="Arial"/>
                <w:b/>
                <w:bCs/>
                <w:sz w:val="18"/>
                <w:szCs w:val="18"/>
                <w:lang w:eastAsia="en-GB"/>
              </w:rPr>
            </w:pPr>
            <w:r w:rsidRPr="00241E00">
              <w:rPr>
                <w:rFonts w:eastAsia="Times New Roman" w:cs="Arial"/>
                <w:b/>
                <w:bCs/>
                <w:sz w:val="18"/>
                <w:szCs w:val="18"/>
                <w:lang w:eastAsia="en-GB"/>
              </w:rPr>
              <w:t>71,298</w:t>
            </w:r>
          </w:p>
        </w:tc>
        <w:tc>
          <w:tcPr>
            <w:tcW w:w="1134" w:type="dxa"/>
            <w:shd w:val="clear" w:color="auto" w:fill="auto"/>
            <w:vAlign w:val="center"/>
          </w:tcPr>
          <w:p w:rsidR="0043478C" w:rsidRPr="0043478C" w:rsidRDefault="0043478C" w:rsidP="0043478C">
            <w:pPr>
              <w:spacing w:after="0"/>
              <w:jc w:val="right"/>
              <w:rPr>
                <w:rFonts w:cs="Arial"/>
                <w:b/>
                <w:bCs/>
                <w:sz w:val="18"/>
                <w:szCs w:val="18"/>
              </w:rPr>
            </w:pPr>
            <w:r w:rsidRPr="0043478C">
              <w:rPr>
                <w:rFonts w:cs="Arial"/>
                <w:b/>
                <w:bCs/>
                <w:sz w:val="18"/>
                <w:szCs w:val="18"/>
              </w:rPr>
              <w:t>-0.15</w:t>
            </w:r>
          </w:p>
        </w:tc>
        <w:tc>
          <w:tcPr>
            <w:tcW w:w="992" w:type="dxa"/>
            <w:shd w:val="clear" w:color="auto" w:fill="auto"/>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-0.14</w:t>
            </w:r>
          </w:p>
        </w:tc>
        <w:tc>
          <w:tcPr>
            <w:tcW w:w="1560" w:type="dxa"/>
            <w:shd w:val="clear" w:color="auto" w:fill="auto"/>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-0.17</w:t>
            </w:r>
          </w:p>
        </w:tc>
        <w:tc>
          <w:tcPr>
            <w:tcW w:w="1275" w:type="dxa"/>
            <w:shd w:val="clear" w:color="auto" w:fill="auto"/>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-0.19</w:t>
            </w:r>
          </w:p>
        </w:tc>
        <w:tc>
          <w:tcPr>
            <w:tcW w:w="709" w:type="dxa"/>
            <w:shd w:val="clear" w:color="auto" w:fill="auto"/>
            <w:vAlign w:val="center"/>
          </w:tcPr>
          <w:p w:rsidR="0043478C" w:rsidRPr="0043478C" w:rsidRDefault="0043478C" w:rsidP="0043478C">
            <w:pPr>
              <w:spacing w:after="0" w:line="240" w:lineRule="auto"/>
              <w:jc w:val="right"/>
              <w:rPr>
                <w:rFonts w:cs="Arial"/>
                <w:b/>
                <w:bCs/>
                <w:sz w:val="18"/>
                <w:szCs w:val="18"/>
              </w:rPr>
            </w:pPr>
            <w:r w:rsidRPr="0043478C">
              <w:rPr>
                <w:rFonts w:cs="Arial"/>
                <w:b/>
                <w:bCs/>
                <w:sz w:val="18"/>
                <w:szCs w:val="18"/>
              </w:rPr>
              <w:t>-0.10</w:t>
            </w:r>
          </w:p>
        </w:tc>
      </w:tr>
      <w:tr w:rsidR="0043478C" w:rsidRPr="0043478C" w:rsidTr="00570337">
        <w:trPr>
          <w:trHeight w:val="300"/>
        </w:trPr>
        <w:tc>
          <w:tcPr>
            <w:tcW w:w="2092" w:type="dxa"/>
            <w:shd w:val="clear" w:color="auto" w:fill="auto"/>
            <w:noWrap/>
            <w:vAlign w:val="bottom"/>
            <w:hideMark/>
          </w:tcPr>
          <w:p w:rsidR="0043478C" w:rsidRPr="00241E00" w:rsidRDefault="0043478C" w:rsidP="0043478C">
            <w:pPr>
              <w:spacing w:after="0" w:line="240" w:lineRule="auto"/>
              <w:rPr>
                <w:rFonts w:eastAsia="Times New Roman" w:cs="Arial"/>
                <w:sz w:val="18"/>
                <w:szCs w:val="18"/>
                <w:lang w:eastAsia="en-GB"/>
              </w:rPr>
            </w:pPr>
            <w:r w:rsidRPr="00241E00">
              <w:rPr>
                <w:rFonts w:eastAsia="Times New Roman" w:cs="Arial"/>
                <w:sz w:val="18"/>
                <w:szCs w:val="18"/>
                <w:lang w:eastAsia="en-GB"/>
              </w:rPr>
              <w:t>Lancashire</w:t>
            </w:r>
          </w:p>
        </w:tc>
        <w:tc>
          <w:tcPr>
            <w:tcW w:w="1447" w:type="dxa"/>
            <w:shd w:val="clear" w:color="auto" w:fill="auto"/>
            <w:noWrap/>
            <w:vAlign w:val="center"/>
            <w:hideMark/>
          </w:tcPr>
          <w:p w:rsidR="0043478C" w:rsidRPr="00241E00" w:rsidRDefault="0043478C" w:rsidP="0043478C">
            <w:pPr>
              <w:spacing w:after="0" w:line="240" w:lineRule="auto"/>
              <w:jc w:val="right"/>
              <w:rPr>
                <w:rFonts w:eastAsia="Times New Roman" w:cs="Arial"/>
                <w:sz w:val="18"/>
                <w:szCs w:val="18"/>
                <w:lang w:eastAsia="en-GB"/>
              </w:rPr>
            </w:pPr>
            <w:r w:rsidRPr="00241E00">
              <w:rPr>
                <w:rFonts w:eastAsia="Times New Roman" w:cs="Arial"/>
                <w:sz w:val="18"/>
                <w:szCs w:val="18"/>
                <w:lang w:eastAsia="en-GB"/>
              </w:rPr>
              <w:t>11,764</w:t>
            </w:r>
          </w:p>
        </w:tc>
        <w:tc>
          <w:tcPr>
            <w:tcW w:w="1134" w:type="dxa"/>
            <w:shd w:val="clear" w:color="auto" w:fill="auto"/>
            <w:vAlign w:val="center"/>
          </w:tcPr>
          <w:p w:rsidR="0043478C" w:rsidRPr="0043478C" w:rsidRDefault="0043478C" w:rsidP="0043478C">
            <w:pPr>
              <w:spacing w:after="0"/>
              <w:jc w:val="right"/>
              <w:rPr>
                <w:rFonts w:cs="Arial"/>
                <w:sz w:val="18"/>
                <w:szCs w:val="18"/>
              </w:rPr>
            </w:pPr>
            <w:r w:rsidRPr="0043478C">
              <w:rPr>
                <w:rFonts w:cs="Arial"/>
                <w:sz w:val="18"/>
                <w:szCs w:val="18"/>
              </w:rPr>
              <w:t>-0.10</w:t>
            </w:r>
          </w:p>
        </w:tc>
        <w:tc>
          <w:tcPr>
            <w:tcW w:w="992" w:type="dxa"/>
            <w:shd w:val="clear" w:color="auto" w:fill="auto"/>
            <w:vAlign w:val="center"/>
          </w:tcPr>
          <w:p w:rsidR="0043478C" w:rsidRPr="0043478C" w:rsidRDefault="0043478C" w:rsidP="0043478C">
            <w:pPr>
              <w:spacing w:after="0" w:line="240" w:lineRule="auto"/>
              <w:jc w:val="right"/>
              <w:rPr>
                <w:rFonts w:cs="Arial"/>
                <w:sz w:val="18"/>
                <w:szCs w:val="18"/>
              </w:rPr>
            </w:pPr>
            <w:r w:rsidRPr="0043478C">
              <w:rPr>
                <w:rFonts w:cs="Arial"/>
                <w:sz w:val="18"/>
                <w:szCs w:val="18"/>
              </w:rPr>
              <w:t>-0.08</w:t>
            </w:r>
          </w:p>
        </w:tc>
        <w:tc>
          <w:tcPr>
            <w:tcW w:w="1560" w:type="dxa"/>
            <w:shd w:val="clear" w:color="auto" w:fill="auto"/>
            <w:vAlign w:val="center"/>
          </w:tcPr>
          <w:p w:rsidR="0043478C" w:rsidRPr="0043478C" w:rsidRDefault="0043478C" w:rsidP="0043478C">
            <w:pPr>
              <w:spacing w:after="0" w:line="240" w:lineRule="auto"/>
              <w:jc w:val="right"/>
              <w:rPr>
                <w:rFonts w:cs="Arial"/>
                <w:sz w:val="18"/>
                <w:szCs w:val="18"/>
              </w:rPr>
            </w:pPr>
            <w:r w:rsidRPr="0043478C">
              <w:rPr>
                <w:rFonts w:cs="Arial"/>
                <w:sz w:val="18"/>
                <w:szCs w:val="18"/>
              </w:rPr>
              <w:t>-0.08</w:t>
            </w:r>
          </w:p>
        </w:tc>
        <w:tc>
          <w:tcPr>
            <w:tcW w:w="1275" w:type="dxa"/>
            <w:shd w:val="clear" w:color="auto" w:fill="auto"/>
            <w:vAlign w:val="center"/>
          </w:tcPr>
          <w:p w:rsidR="0043478C" w:rsidRPr="0043478C" w:rsidRDefault="0043478C" w:rsidP="0043478C">
            <w:pPr>
              <w:spacing w:after="0" w:line="240" w:lineRule="auto"/>
              <w:jc w:val="right"/>
              <w:rPr>
                <w:rFonts w:cs="Arial"/>
                <w:sz w:val="18"/>
                <w:szCs w:val="18"/>
              </w:rPr>
            </w:pPr>
            <w:r w:rsidRPr="0043478C">
              <w:rPr>
                <w:rFonts w:cs="Arial"/>
                <w:sz w:val="18"/>
                <w:szCs w:val="18"/>
              </w:rPr>
              <w:t>-0.16</w:t>
            </w:r>
          </w:p>
        </w:tc>
        <w:tc>
          <w:tcPr>
            <w:tcW w:w="709" w:type="dxa"/>
            <w:shd w:val="clear" w:color="auto" w:fill="auto"/>
            <w:vAlign w:val="center"/>
          </w:tcPr>
          <w:p w:rsidR="0043478C" w:rsidRPr="0043478C" w:rsidRDefault="0043478C" w:rsidP="0043478C">
            <w:pPr>
              <w:spacing w:after="0" w:line="240" w:lineRule="auto"/>
              <w:jc w:val="right"/>
              <w:rPr>
                <w:rFonts w:cs="Arial"/>
                <w:sz w:val="18"/>
                <w:szCs w:val="18"/>
              </w:rPr>
            </w:pPr>
            <w:r w:rsidRPr="0043478C">
              <w:rPr>
                <w:rFonts w:cs="Arial"/>
                <w:sz w:val="18"/>
                <w:szCs w:val="18"/>
              </w:rPr>
              <w:t>-0.08</w:t>
            </w:r>
          </w:p>
        </w:tc>
      </w:tr>
    </w:tbl>
    <w:p w:rsidR="00241E00" w:rsidRPr="00570337" w:rsidRDefault="00241E00" w:rsidP="00570337">
      <w:pPr>
        <w:spacing w:after="0"/>
        <w:rPr>
          <w:sz w:val="18"/>
        </w:rPr>
      </w:pPr>
    </w:p>
    <w:sectPr w:rsidR="00241E00" w:rsidRPr="00570337" w:rsidSect="00570337">
      <w:pgSz w:w="11906" w:h="16838"/>
      <w:pgMar w:top="1134"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9C"/>
    <w:rsid w:val="0000438D"/>
    <w:rsid w:val="00042ED2"/>
    <w:rsid w:val="0004368A"/>
    <w:rsid w:val="000531D8"/>
    <w:rsid w:val="000B4BFD"/>
    <w:rsid w:val="00196FE3"/>
    <w:rsid w:val="001D433A"/>
    <w:rsid w:val="0020644C"/>
    <w:rsid w:val="00227CA9"/>
    <w:rsid w:val="00241E00"/>
    <w:rsid w:val="0026589B"/>
    <w:rsid w:val="002875A8"/>
    <w:rsid w:val="002A1E24"/>
    <w:rsid w:val="0035199C"/>
    <w:rsid w:val="00373694"/>
    <w:rsid w:val="0037648A"/>
    <w:rsid w:val="0043478C"/>
    <w:rsid w:val="00457381"/>
    <w:rsid w:val="004576AC"/>
    <w:rsid w:val="004D34E5"/>
    <w:rsid w:val="004F68CD"/>
    <w:rsid w:val="0050045E"/>
    <w:rsid w:val="00501680"/>
    <w:rsid w:val="00551490"/>
    <w:rsid w:val="00570337"/>
    <w:rsid w:val="005A2FCC"/>
    <w:rsid w:val="005A378E"/>
    <w:rsid w:val="005E2791"/>
    <w:rsid w:val="00677598"/>
    <w:rsid w:val="007235A5"/>
    <w:rsid w:val="00740D87"/>
    <w:rsid w:val="0074647F"/>
    <w:rsid w:val="0077786A"/>
    <w:rsid w:val="0078095E"/>
    <w:rsid w:val="0085772E"/>
    <w:rsid w:val="008921A0"/>
    <w:rsid w:val="008F6834"/>
    <w:rsid w:val="00A01CBF"/>
    <w:rsid w:val="00A222AA"/>
    <w:rsid w:val="00A5008D"/>
    <w:rsid w:val="00BE0A7A"/>
    <w:rsid w:val="00C025B7"/>
    <w:rsid w:val="00C1794E"/>
    <w:rsid w:val="00C32B28"/>
    <w:rsid w:val="00C40274"/>
    <w:rsid w:val="00C576B2"/>
    <w:rsid w:val="00D1195A"/>
    <w:rsid w:val="00D834B4"/>
    <w:rsid w:val="00D87DEE"/>
    <w:rsid w:val="00DA6345"/>
    <w:rsid w:val="00E5425F"/>
    <w:rsid w:val="00F63B4D"/>
    <w:rsid w:val="00FC268A"/>
    <w:rsid w:val="00FC3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BECF8-C2AC-443E-85E0-EF5D40AC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9449">
      <w:bodyDiv w:val="1"/>
      <w:marLeft w:val="0"/>
      <w:marRight w:val="0"/>
      <w:marTop w:val="0"/>
      <w:marBottom w:val="0"/>
      <w:divBdr>
        <w:top w:val="none" w:sz="0" w:space="0" w:color="auto"/>
        <w:left w:val="none" w:sz="0" w:space="0" w:color="auto"/>
        <w:bottom w:val="none" w:sz="0" w:space="0" w:color="auto"/>
        <w:right w:val="none" w:sz="0" w:space="0" w:color="auto"/>
      </w:divBdr>
    </w:div>
    <w:div w:id="111246560">
      <w:bodyDiv w:val="1"/>
      <w:marLeft w:val="0"/>
      <w:marRight w:val="0"/>
      <w:marTop w:val="0"/>
      <w:marBottom w:val="0"/>
      <w:divBdr>
        <w:top w:val="none" w:sz="0" w:space="0" w:color="auto"/>
        <w:left w:val="none" w:sz="0" w:space="0" w:color="auto"/>
        <w:bottom w:val="none" w:sz="0" w:space="0" w:color="auto"/>
        <w:right w:val="none" w:sz="0" w:space="0" w:color="auto"/>
      </w:divBdr>
    </w:div>
    <w:div w:id="277682194">
      <w:bodyDiv w:val="1"/>
      <w:marLeft w:val="0"/>
      <w:marRight w:val="0"/>
      <w:marTop w:val="0"/>
      <w:marBottom w:val="0"/>
      <w:divBdr>
        <w:top w:val="none" w:sz="0" w:space="0" w:color="auto"/>
        <w:left w:val="none" w:sz="0" w:space="0" w:color="auto"/>
        <w:bottom w:val="none" w:sz="0" w:space="0" w:color="auto"/>
        <w:right w:val="none" w:sz="0" w:space="0" w:color="auto"/>
      </w:divBdr>
    </w:div>
    <w:div w:id="519469492">
      <w:bodyDiv w:val="1"/>
      <w:marLeft w:val="0"/>
      <w:marRight w:val="0"/>
      <w:marTop w:val="0"/>
      <w:marBottom w:val="0"/>
      <w:divBdr>
        <w:top w:val="none" w:sz="0" w:space="0" w:color="auto"/>
        <w:left w:val="none" w:sz="0" w:space="0" w:color="auto"/>
        <w:bottom w:val="none" w:sz="0" w:space="0" w:color="auto"/>
        <w:right w:val="none" w:sz="0" w:space="0" w:color="auto"/>
      </w:divBdr>
    </w:div>
    <w:div w:id="556428844">
      <w:bodyDiv w:val="1"/>
      <w:marLeft w:val="0"/>
      <w:marRight w:val="0"/>
      <w:marTop w:val="0"/>
      <w:marBottom w:val="0"/>
      <w:divBdr>
        <w:top w:val="none" w:sz="0" w:space="0" w:color="auto"/>
        <w:left w:val="none" w:sz="0" w:space="0" w:color="auto"/>
        <w:bottom w:val="none" w:sz="0" w:space="0" w:color="auto"/>
        <w:right w:val="none" w:sz="0" w:space="0" w:color="auto"/>
      </w:divBdr>
    </w:div>
    <w:div w:id="576325292">
      <w:bodyDiv w:val="1"/>
      <w:marLeft w:val="0"/>
      <w:marRight w:val="0"/>
      <w:marTop w:val="0"/>
      <w:marBottom w:val="0"/>
      <w:divBdr>
        <w:top w:val="none" w:sz="0" w:space="0" w:color="auto"/>
        <w:left w:val="none" w:sz="0" w:space="0" w:color="auto"/>
        <w:bottom w:val="none" w:sz="0" w:space="0" w:color="auto"/>
        <w:right w:val="none" w:sz="0" w:space="0" w:color="auto"/>
      </w:divBdr>
    </w:div>
    <w:div w:id="597446183">
      <w:bodyDiv w:val="1"/>
      <w:marLeft w:val="0"/>
      <w:marRight w:val="0"/>
      <w:marTop w:val="0"/>
      <w:marBottom w:val="0"/>
      <w:divBdr>
        <w:top w:val="none" w:sz="0" w:space="0" w:color="auto"/>
        <w:left w:val="none" w:sz="0" w:space="0" w:color="auto"/>
        <w:bottom w:val="none" w:sz="0" w:space="0" w:color="auto"/>
        <w:right w:val="none" w:sz="0" w:space="0" w:color="auto"/>
      </w:divBdr>
    </w:div>
    <w:div w:id="817380549">
      <w:bodyDiv w:val="1"/>
      <w:marLeft w:val="0"/>
      <w:marRight w:val="0"/>
      <w:marTop w:val="0"/>
      <w:marBottom w:val="0"/>
      <w:divBdr>
        <w:top w:val="none" w:sz="0" w:space="0" w:color="auto"/>
        <w:left w:val="none" w:sz="0" w:space="0" w:color="auto"/>
        <w:bottom w:val="none" w:sz="0" w:space="0" w:color="auto"/>
        <w:right w:val="none" w:sz="0" w:space="0" w:color="auto"/>
      </w:divBdr>
    </w:div>
    <w:div w:id="849101308">
      <w:bodyDiv w:val="1"/>
      <w:marLeft w:val="0"/>
      <w:marRight w:val="0"/>
      <w:marTop w:val="0"/>
      <w:marBottom w:val="0"/>
      <w:divBdr>
        <w:top w:val="none" w:sz="0" w:space="0" w:color="auto"/>
        <w:left w:val="none" w:sz="0" w:space="0" w:color="auto"/>
        <w:bottom w:val="none" w:sz="0" w:space="0" w:color="auto"/>
        <w:right w:val="none" w:sz="0" w:space="0" w:color="auto"/>
      </w:divBdr>
    </w:div>
    <w:div w:id="864513962">
      <w:bodyDiv w:val="1"/>
      <w:marLeft w:val="0"/>
      <w:marRight w:val="0"/>
      <w:marTop w:val="0"/>
      <w:marBottom w:val="0"/>
      <w:divBdr>
        <w:top w:val="none" w:sz="0" w:space="0" w:color="auto"/>
        <w:left w:val="none" w:sz="0" w:space="0" w:color="auto"/>
        <w:bottom w:val="none" w:sz="0" w:space="0" w:color="auto"/>
        <w:right w:val="none" w:sz="0" w:space="0" w:color="auto"/>
      </w:divBdr>
    </w:div>
    <w:div w:id="1012494790">
      <w:bodyDiv w:val="1"/>
      <w:marLeft w:val="0"/>
      <w:marRight w:val="0"/>
      <w:marTop w:val="0"/>
      <w:marBottom w:val="0"/>
      <w:divBdr>
        <w:top w:val="none" w:sz="0" w:space="0" w:color="auto"/>
        <w:left w:val="none" w:sz="0" w:space="0" w:color="auto"/>
        <w:bottom w:val="none" w:sz="0" w:space="0" w:color="auto"/>
        <w:right w:val="none" w:sz="0" w:space="0" w:color="auto"/>
      </w:divBdr>
    </w:div>
    <w:div w:id="1056394386">
      <w:bodyDiv w:val="1"/>
      <w:marLeft w:val="0"/>
      <w:marRight w:val="0"/>
      <w:marTop w:val="0"/>
      <w:marBottom w:val="0"/>
      <w:divBdr>
        <w:top w:val="none" w:sz="0" w:space="0" w:color="auto"/>
        <w:left w:val="none" w:sz="0" w:space="0" w:color="auto"/>
        <w:bottom w:val="none" w:sz="0" w:space="0" w:color="auto"/>
        <w:right w:val="none" w:sz="0" w:space="0" w:color="auto"/>
      </w:divBdr>
    </w:div>
    <w:div w:id="1212038766">
      <w:bodyDiv w:val="1"/>
      <w:marLeft w:val="0"/>
      <w:marRight w:val="0"/>
      <w:marTop w:val="0"/>
      <w:marBottom w:val="0"/>
      <w:divBdr>
        <w:top w:val="none" w:sz="0" w:space="0" w:color="auto"/>
        <w:left w:val="none" w:sz="0" w:space="0" w:color="auto"/>
        <w:bottom w:val="none" w:sz="0" w:space="0" w:color="auto"/>
        <w:right w:val="none" w:sz="0" w:space="0" w:color="auto"/>
      </w:divBdr>
    </w:div>
    <w:div w:id="1234001827">
      <w:bodyDiv w:val="1"/>
      <w:marLeft w:val="0"/>
      <w:marRight w:val="0"/>
      <w:marTop w:val="0"/>
      <w:marBottom w:val="0"/>
      <w:divBdr>
        <w:top w:val="none" w:sz="0" w:space="0" w:color="auto"/>
        <w:left w:val="none" w:sz="0" w:space="0" w:color="auto"/>
        <w:bottom w:val="none" w:sz="0" w:space="0" w:color="auto"/>
        <w:right w:val="none" w:sz="0" w:space="0" w:color="auto"/>
      </w:divBdr>
    </w:div>
    <w:div w:id="1272592404">
      <w:bodyDiv w:val="1"/>
      <w:marLeft w:val="0"/>
      <w:marRight w:val="0"/>
      <w:marTop w:val="0"/>
      <w:marBottom w:val="0"/>
      <w:divBdr>
        <w:top w:val="none" w:sz="0" w:space="0" w:color="auto"/>
        <w:left w:val="none" w:sz="0" w:space="0" w:color="auto"/>
        <w:bottom w:val="none" w:sz="0" w:space="0" w:color="auto"/>
        <w:right w:val="none" w:sz="0" w:space="0" w:color="auto"/>
      </w:divBdr>
    </w:div>
    <w:div w:id="1405954156">
      <w:bodyDiv w:val="1"/>
      <w:marLeft w:val="0"/>
      <w:marRight w:val="0"/>
      <w:marTop w:val="0"/>
      <w:marBottom w:val="0"/>
      <w:divBdr>
        <w:top w:val="none" w:sz="0" w:space="0" w:color="auto"/>
        <w:left w:val="none" w:sz="0" w:space="0" w:color="auto"/>
        <w:bottom w:val="none" w:sz="0" w:space="0" w:color="auto"/>
        <w:right w:val="none" w:sz="0" w:space="0" w:color="auto"/>
      </w:divBdr>
    </w:div>
    <w:div w:id="1858035279">
      <w:bodyDiv w:val="1"/>
      <w:marLeft w:val="0"/>
      <w:marRight w:val="0"/>
      <w:marTop w:val="0"/>
      <w:marBottom w:val="0"/>
      <w:divBdr>
        <w:top w:val="none" w:sz="0" w:space="0" w:color="auto"/>
        <w:left w:val="none" w:sz="0" w:space="0" w:color="auto"/>
        <w:bottom w:val="none" w:sz="0" w:space="0" w:color="auto"/>
        <w:right w:val="none" w:sz="0" w:space="0" w:color="auto"/>
      </w:divBdr>
    </w:div>
    <w:div w:id="1934583246">
      <w:bodyDiv w:val="1"/>
      <w:marLeft w:val="0"/>
      <w:marRight w:val="0"/>
      <w:marTop w:val="0"/>
      <w:marBottom w:val="0"/>
      <w:divBdr>
        <w:top w:val="none" w:sz="0" w:space="0" w:color="auto"/>
        <w:left w:val="none" w:sz="0" w:space="0" w:color="auto"/>
        <w:bottom w:val="none" w:sz="0" w:space="0" w:color="auto"/>
        <w:right w:val="none" w:sz="0" w:space="0" w:color="auto"/>
      </w:divBdr>
    </w:div>
    <w:div w:id="1962178894">
      <w:bodyDiv w:val="1"/>
      <w:marLeft w:val="0"/>
      <w:marRight w:val="0"/>
      <w:marTop w:val="0"/>
      <w:marBottom w:val="0"/>
      <w:divBdr>
        <w:top w:val="none" w:sz="0" w:space="0" w:color="auto"/>
        <w:left w:val="none" w:sz="0" w:space="0" w:color="auto"/>
        <w:bottom w:val="none" w:sz="0" w:space="0" w:color="auto"/>
        <w:right w:val="none" w:sz="0" w:space="0" w:color="auto"/>
      </w:divBdr>
    </w:div>
    <w:div w:id="1972246525">
      <w:bodyDiv w:val="1"/>
      <w:marLeft w:val="0"/>
      <w:marRight w:val="0"/>
      <w:marTop w:val="0"/>
      <w:marBottom w:val="0"/>
      <w:divBdr>
        <w:top w:val="none" w:sz="0" w:space="0" w:color="auto"/>
        <w:left w:val="none" w:sz="0" w:space="0" w:color="auto"/>
        <w:bottom w:val="none" w:sz="0" w:space="0" w:color="auto"/>
        <w:right w:val="none" w:sz="0" w:space="0" w:color="auto"/>
      </w:divBdr>
    </w:div>
    <w:div w:id="2018380976">
      <w:bodyDiv w:val="1"/>
      <w:marLeft w:val="0"/>
      <w:marRight w:val="0"/>
      <w:marTop w:val="0"/>
      <w:marBottom w:val="0"/>
      <w:divBdr>
        <w:top w:val="none" w:sz="0" w:space="0" w:color="auto"/>
        <w:left w:val="none" w:sz="0" w:space="0" w:color="auto"/>
        <w:bottom w:val="none" w:sz="0" w:space="0" w:color="auto"/>
        <w:right w:val="none" w:sz="0" w:space="0" w:color="auto"/>
      </w:divBdr>
    </w:div>
    <w:div w:id="20799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eheaton001</dc:creator>
  <cp:lastModifiedBy>Parker, Sam</cp:lastModifiedBy>
  <cp:revision>2</cp:revision>
  <dcterms:created xsi:type="dcterms:W3CDTF">2016-11-01T15:47:00Z</dcterms:created>
  <dcterms:modified xsi:type="dcterms:W3CDTF">2016-11-01T15:47:00Z</dcterms:modified>
</cp:coreProperties>
</file>